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ARTIFICIAL INTELLIGENCE USE POLICY</w:t>
      </w:r>
    </w:p>
    <w:p>
      <w:r>
        <w:t>[Company name]</w:t>
      </w:r>
    </w:p>
    <w:p>
      <w:r>
        <w:t>Version [1.0] of [date]. AI lead: [name, job title, email address].</w:t>
      </w:r>
    </w:p>
    <w:p>
      <w:r>
        <w:t>maccus.fr template, version of October 10, 2026. This template is a starting point to adapt to your company; it does not replace legal advice.</w:t>
      </w:r>
    </w:p>
    <w:p>
      <w:pPr>
        <w:pStyle w:val="Heading2"/>
      </w:pPr>
      <w:r>
        <w:t>Article 1. Purpose and scope</w:t>
      </w:r>
    </w:p>
    <w:p>
      <w:r>
        <w:t>This policy sets the rules for using artificial intelligence (AI) tools at [Company name]. It applies to anyone who uses an AI tool on behalf of the company: managers, employees, interns, temporary workers, and the contractors and freelancers who work with our information.</w:t>
      </w:r>
    </w:p>
    <w:p>
      <w:r>
        <w:t>In the company, these tools are used for: [writing and editing texts, translation, document summaries, replies to clients, code, visuals]. Any other use requires the approval of the AI lead.</w:t>
      </w:r>
    </w:p>
    <w:p>
      <w:r>
        <w:t>It covers tools that generate text, images, sound or video, assistants built into the company's software (email, word processor, spreadsheet, management software), browser extensions with AI features, and connectors that give an AI tool access to our files, our email or our calendar.</w:t>
      </w:r>
    </w:p>
    <w:p>
      <w:pPr>
        <w:pStyle w:val="Heading2"/>
      </w:pPr>
      <w:r>
        <w:t>Article 2. Approved tools and accounts</w:t>
      </w:r>
    </w:p>
    <w:p>
      <w:r>
        <w:t>Only the tools listed below may be used with company information. For each one, the list states the plan subscribed to and the highest data level allowed (see Article 3).</w:t>
      </w:r>
    </w:p>
    <w:p>
      <w:pPr>
        <w:pStyle w:val="ListBullet"/>
      </w:pPr>
      <w:r>
        <w:t>[Tool 1]: [free / business] plan, account provided by the company, data up to level [1 or 2].</w:t>
      </w:r>
    </w:p>
    <w:p>
      <w:pPr>
        <w:pStyle w:val="ListBullet"/>
      </w:pPr>
      <w:r>
        <w:t>[Tool 2]: [free / business] plan, account provided by the company, data up to level [1 or 2].</w:t>
      </w:r>
    </w:p>
    <w:p>
      <w:r>
        <w:t>You use these tools with an account opened under your work email address. Using a personal account for a work task is prohibited. When a tool offers to reuse your conversations to improve or train its models, that option is turned off, following the procedure provided by the AI lead.</w:t>
      </w:r>
    </w:p>
    <w:p>
      <w:r>
        <w:t>Installing any new tool, extension or connector (access to email, calendar, shared files, management software) requires the prior written approval of the AI lead.</w:t>
      </w:r>
    </w:p>
    <w:p>
      <w:pPr>
        <w:pStyle w:val="Heading2"/>
      </w:pPr>
      <w:r>
        <w:t>Article 3. The three data levels</w:t>
      </w:r>
    </w:p>
    <w:p>
      <w:r>
        <w:t>Level 1, allowed in all the tools in Article 2: information that is public or meant to be (texts already published, online product sheets, public documentation) and texts you write without personal data or confidential information.</w:t>
      </w:r>
    </w:p>
    <w:p>
      <w:r>
        <w:t>Level 2, allowed only in the tools marked "level 2" in Article 2, meaning tools covered by a business plan and a data processing agreement: internal documents that are not sensitive and personal data limited to what the task strictly needs, for example a client's name and work address to prepare a reply. Before submitting a document, you remove everything the task does not need.</w:t>
      </w:r>
    </w:p>
    <w:p>
      <w:r>
        <w:t>Level 3, prohibited in every AI tool, unless the AI lead gives written authorization for a specific tool and task:</w:t>
      </w:r>
    </w:p>
    <w:p>
      <w:pPr>
        <w:pStyle w:val="ListBullet"/>
      </w:pPr>
      <w:r>
        <w:t>health data, including doctor's notes for sick leave and medical certificates;</w:t>
      </w:r>
    </w:p>
    <w:p>
      <w:pPr>
        <w:pStyle w:val="ListBullet"/>
      </w:pPr>
      <w:r>
        <w:t>personnel data: payroll, evaluations, disciplinary measures, job applications;</w:t>
      </w:r>
    </w:p>
    <w:p>
      <w:pPr>
        <w:pStyle w:val="ListBullet"/>
      </w:pPr>
      <w:r>
        <w:t>identification numbers: social security number in France, national register number in Belgium, ID document numbers;</w:t>
      </w:r>
    </w:p>
    <w:p>
      <w:pPr>
        <w:pStyle w:val="ListBullet"/>
      </w:pPr>
      <w:r>
        <w:t>bank details and card numbers;</w:t>
      </w:r>
    </w:p>
    <w:p>
      <w:pPr>
        <w:pStyle w:val="ListBullet"/>
      </w:pPr>
      <w:r>
        <w:t>passwords, access codes and technical keys;</w:t>
      </w:r>
    </w:p>
    <w:p>
      <w:pPr>
        <w:pStyle w:val="ListBullet"/>
      </w:pPr>
      <w:r>
        <w:t>trade secrets: non-public prices, margins, complete client files, strategy, proprietary source code;</w:t>
      </w:r>
    </w:p>
    <w:p>
      <w:pPr>
        <w:pStyle w:val="ListBullet"/>
      </w:pPr>
      <w:r>
        <w:t>documents covered by professional secrecy or by a confidentiality agreement signed with a client or partner;</w:t>
      </w:r>
    </w:p>
    <w:p>
      <w:pPr>
        <w:pStyle w:val="ListBullet"/>
      </w:pPr>
      <w:r>
        <w:t>[other category specific to your business].</w:t>
      </w:r>
    </w:p>
    <w:p>
      <w:r>
        <w:t>Replacing a name with an initial does not make a document anonymous: if the person can still be recognized from the context, the document still belongs to level 2 or level 3.</w:t>
      </w:r>
    </w:p>
    <w:p>
      <w:pPr>
        <w:pStyle w:val="Heading2"/>
      </w:pPr>
      <w:r>
        <w:t>Article 4. Human review and accountability</w:t>
      </w:r>
    </w:p>
    <w:p>
      <w:r>
        <w:t>Any content produced with the help of AI is reread, checked and approved by a person before any use outside the company: sending to a client, publication, quote, contract, reply to a public authority. In particular, you check figures, dates, names, quotations and legal references, which can be wrong while looking plausible.</w:t>
      </w:r>
    </w:p>
    <w:p>
      <w:r>
        <w:t>The person who approves content is responsible for it as if they had written it alone.</w:t>
      </w:r>
    </w:p>
    <w:p>
      <w:r>
        <w:t>No decision that produces legal effects for a person or significantly affects them (hiring, disciplinary measure, refusal of service, individual commercial terms) is made solely on the basis of a result provided by AI.</w:t>
      </w:r>
    </w:p>
    <w:p>
      <w:r>
        <w:t>[If your teams reply to clients with the help of AI] No reply written with AI is sent to a client without being reread by the person who signs it.</w:t>
      </w:r>
    </w:p>
    <w:p>
      <w:pPr>
        <w:pStyle w:val="Heading2"/>
      </w:pPr>
      <w:r>
        <w:t>Article 5. Transparency and labels</w:t>
      </w:r>
    </w:p>
    <w:p>
      <w:r>
        <w:t>An image, sound or video generated or altered by AI that realistically resembles existing people, places or events carries a label stating that it was generated or altered by AI.</w:t>
      </w:r>
    </w:p>
    <w:p>
      <w:r>
        <w:t>A text generated by AI and published to inform the public on matters of public interest carries the same label, unless it has been reread and approved by a person who takes editorial responsibility for it.</w:t>
      </w:r>
    </w:p>
    <w:p>
      <w:r>
        <w:t>When a client or partner asks whether a document was prepared with AI, you answer accurately. If a contract with a client restricts or prohibits the use of AI, that contract takes precedence.</w:t>
      </w:r>
    </w:p>
    <w:p>
      <w:pPr>
        <w:pStyle w:val="Heading2"/>
      </w:pPr>
      <w:r>
        <w:t>Article 6. Prohibited uses</w:t>
      </w:r>
    </w:p>
    <w:p>
      <w:r>
        <w:t>AI tools may not be used to:</w:t>
      </w:r>
    </w:p>
    <w:p>
      <w:pPr>
        <w:pStyle w:val="ListBullet"/>
      </w:pPr>
      <w:r>
        <w:t>infer the emotions of a colleague or candidate by analyzing their voice, face or writing;</w:t>
      </w:r>
    </w:p>
    <w:p>
      <w:pPr>
        <w:pStyle w:val="ListBullet"/>
      </w:pPr>
      <w:r>
        <w:t>monitor or evaluate a person who has not been informed beforehand;</w:t>
      </w:r>
    </w:p>
    <w:p>
      <w:pPr>
        <w:pStyle w:val="ListBullet"/>
      </w:pPr>
      <w:r>
        <w:t>screen job applications or evaluate performance without the written approval of management and the AI lead;</w:t>
      </w:r>
    </w:p>
    <w:p>
      <w:pPr>
        <w:pStyle w:val="ListBullet"/>
      </w:pPr>
      <w:r>
        <w:t>produce fake reviews, fake testimonials, or a realistic image of a person without their consent;</w:t>
      </w:r>
    </w:p>
    <w:p>
      <w:pPr>
        <w:pStyle w:val="ListBullet"/>
      </w:pPr>
      <w:r>
        <w:t>submit documents the company holds no rights to, or reuse unchanged any output that reproduces an existing work;</w:t>
      </w:r>
    </w:p>
    <w:p>
      <w:pPr>
        <w:pStyle w:val="ListBullet"/>
      </w:pPr>
      <w:r>
        <w:t>get around this policy: personal account, unapproved tool, copying data to a service not listed in Article 2.</w:t>
      </w:r>
    </w:p>
    <w:p>
      <w:pPr>
        <w:pStyle w:val="Heading2"/>
      </w:pPr>
      <w:r>
        <w:t>Article 7. Training</w:t>
      </w:r>
    </w:p>
    <w:p>
      <w:r>
        <w:t>Each user attends awareness training [before their first use / when they join], then [once a year]. It covers how the approved tools work and their limits, the rules of this policy and the risks specific to their job. The company keeps a record of the sessions attended (date, participants, content).</w:t>
      </w:r>
    </w:p>
    <w:p>
      <w:pPr>
        <w:pStyle w:val="Heading2"/>
      </w:pPr>
      <w:r>
        <w:t>Article 8. AI lead and incidents</w:t>
      </w:r>
    </w:p>
    <w:p>
      <w:r>
        <w:t>The AI lead, [name, job title], answers questions, approves new tools and keeps the list in Article 2 up to date.</w:t>
      </w:r>
    </w:p>
    <w:p>
      <w:r>
        <w:t>You report to them without delay any level 3 data entered by mistake, any incorrect content that has left the company and any abnormal behavior of a tool. If personal data has been exposed, the AI lead informs [management / the data protection officer], who assesses whether it is a data breach to notify to the data protection authority (the CNIL in France, the Data Protection Authority in Belgium), where feasible within 72 hours.</w:t>
      </w:r>
    </w:p>
    <w:p>
      <w:pPr>
        <w:pStyle w:val="Heading2"/>
      </w:pPr>
      <w:r>
        <w:t>Article 9. Monitoring and review</w:t>
      </w:r>
    </w:p>
    <w:p>
      <w:r>
        <w:t>The list of approved tools is reviewed [every six months]; the whole policy is reviewed at least [once a year] and at each significant change of tool or regulation.</w:t>
      </w:r>
    </w:p>
    <w:p>
      <w:r>
        <w:t>Any monitoring of the use of AI tools is proportionate to its purpose and brought to your attention before it is put in place.</w:t>
      </w:r>
    </w:p>
    <w:p>
      <w:pPr>
        <w:pStyle w:val="Heading2"/>
      </w:pPr>
      <w:r>
        <w:t>Article 10. Status of the policy and acknowledgment of receipt</w:t>
      </w:r>
    </w:p>
    <w:p>
      <w:r>
        <w:t>[France, company with at least 50 employees] This policy is an addition to the internal rules (règlement intérieur). It was submitted for the opinion of the social and economic committee on [date], sent to the labor inspectorate on [date], filed with the clerk of the labor court (conseil de prud'hommes) on [date], and comes into force on [date, at least one month after the publication formalities].</w:t>
      </w:r>
    </w:p>
    <w:p>
      <w:r>
        <w:t>[France, fewer than 50 employees, informational policy] This policy is handed to each user, who acknowledges receipt.</w:t>
      </w:r>
    </w:p>
    <w:p>
      <w:r>
        <w:t>[France, fewer than 50 employees, policy that can serve as grounds for discipline] This policy was submitted for the opinion of the social and economic committee on [date] (if there is one), sent to the labor inspectorate on [date], filed with the clerk of the labor court on [date], and comes into force on [date, at least one month after the publication formalities].</w:t>
      </w:r>
    </w:p>
    <w:p>
      <w:r>
        <w:t>[Belgium] Breaches of this policy that can lead to a penalty are listed in the work rules (règlement de travail), amended following the procedure set by the Law of April 8, 1965.</w:t>
      </w:r>
    </w:p>
    <w:p>
      <w:r>
        <w:t>Acknowledgment of receipt. Name: [ ]. Job title: [ ]. Date: [ ]. Signature: [ ].</w:t>
      </w:r>
    </w:p>
    <w:p>
      <w:r>
        <w:t>"I have read this policy and agree to comply with 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