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Charte d'utilisation de l'intelligence artificielle</w:t>
      </w:r>
    </w:p>
    <w:p>
      <w:r>
        <w:rPr>
          <w:b/>
        </w:rPr>
        <w:t>[Nom de l'entreprise]</w:t>
      </w:r>
    </w:p>
    <w:p>
      <w:r>
        <w:rPr>
          <w:b w:val="0"/>
        </w:rPr>
        <w:t>Version [1.0] du [date]. Référent IA : [nom, fonction, adresse e-mail].</w:t>
      </w:r>
    </w:p>
    <w:p>
      <w:r>
        <w:rPr>
          <w:i/>
          <w:color w:val="555555"/>
          <w:sz w:val="18"/>
        </w:rPr>
        <w:t>Modèle maccus.fr, version du 10 octobre 2026. Ce modèle est un point de départ à adapter à votre entreprise ; il ne remplace pas un avis juridique.</w:t>
      </w:r>
    </w:p>
    <w:p>
      <w:pPr>
        <w:pStyle w:val="Heading1"/>
      </w:pPr>
      <w:r>
        <w:t>Article 1. Objet et champ d'application</w:t>
      </w:r>
    </w:p>
    <w:p>
      <w:r>
        <w:t>La présente charte fixe les règles d'utilisation des outils d'intelligence artificielle (IA) au sein de [Nom de l'entreprise]. Elle s'applique à toute personne qui utilise un outil d'IA pour le compte de l'entreprise : dirigeants, salariés, stagiaires, intérimaires, ainsi que les prestataires et indépendants qui travaillent avec nos informations.</w:t>
      </w:r>
    </w:p>
    <w:p>
      <w:r>
        <w:t>Dans l'entreprise, ces outils servent à : [rédaction et correction de textes, traduction, synthèse de documents, réponses aux clients, code, visuels]. Tout autre usage demande l'accord du référent IA.</w:t>
      </w:r>
    </w:p>
    <w:p>
      <w:r>
        <w:t>Elle couvre les outils qui génèrent du texte, des images, du son ou de la vidéo, les assistants intégrés aux logiciels de l'entreprise (messagerie, traitement de texte, tableur, logiciel de gestion), les extensions de navigateur dotées d'IA et les connecteurs qui donnent à un outil d'IA un accès à nos fichiers, à notre messagerie ou à notre agenda.</w:t>
      </w:r>
    </w:p>
    <w:p>
      <w:pPr>
        <w:pStyle w:val="Heading1"/>
      </w:pPr>
      <w:r>
        <w:t>Article 2. Outils autorisés et comptes</w:t>
      </w:r>
    </w:p>
    <w:p>
      <w:r>
        <w:t>Seuls les outils listés ci-dessous peuvent être utilisés avec des informations de l'entreprise. Pour chacun, la liste indique l'offre souscrite et le niveau de données le plus élevé autorisé (voir l'article 3).</w:t>
      </w:r>
    </w:p>
    <w:p>
      <w:pPr>
        <w:pStyle w:val="ListBullet"/>
      </w:pPr>
      <w:r>
        <w:t>[Outil 1] : offre [gratuite / professionnelle], compte fourni par l'entreprise, données jusqu'au niveau [1 ou 2].</w:t>
      </w:r>
    </w:p>
    <w:p>
      <w:pPr>
        <w:pStyle w:val="ListBullet"/>
      </w:pPr>
      <w:r>
        <w:t>[Outil 2] : offre [gratuite / professionnelle], compte fourni par l'entreprise, données jusqu'au niveau [1 ou 2].</w:t>
      </w:r>
    </w:p>
    <w:p>
      <w:r>
        <w:t>Vous utilisez ces outils avec un compte ouvert à votre adresse électronique professionnelle. L'usage d'un compte personnel pour une tâche professionnelle est interdit. Lorsqu'un outil propose de réutiliser vos conversations pour améliorer ou entraîner ses modèles, cette option est désactivée, selon la procédure communiquée par le référent IA.</w:t>
      </w:r>
    </w:p>
    <w:p>
      <w:r>
        <w:t>Toute installation d'un nouvel outil, d'une extension ou d'un connecteur (accès à la messagerie, à l'agenda, aux fichiers partagés, au logiciel de gestion) demande l'accord écrit préalable du référent IA.</w:t>
      </w:r>
    </w:p>
    <w:p>
      <w:pPr>
        <w:pStyle w:val="Heading1"/>
      </w:pPr>
      <w:r>
        <w:t>Article 3. Les trois niveaux de données</w:t>
      </w:r>
    </w:p>
    <w:p>
      <w:r>
        <w:t>Niveau 1, autorisé dans tous les outils de l'article 2 : informations publiques ou destinées à l'être (textes déjà publiés, fiches produits en ligne, documentation publique) et textes que vous rédigez sans donnée personnelle ni information confidentielle.</w:t>
      </w:r>
    </w:p>
    <w:p>
      <w:r>
        <w:t>Niveau 2, autorisé uniquement dans les outils marqués « niveau 2 » à l'article 2, c'est-à-dire couverts par une offre professionnelle et un contrat de sous-traitance : documents internes sans caractère sensible et données personnelles limitées au strict nécessaire pour la tâche, par exemple le nom et l'adresse professionnelle d'un client pour préparer une réponse. Avant de transmettre un document, vous retirez tout ce qui n'est pas utile à la tâche.</w:t>
      </w:r>
    </w:p>
    <w:p>
      <w:r>
        <w:t>Niveau 3, interdit dans tout outil d'IA, sauf autorisation écrite du référent IA pour un outil et une tâche précis :</w:t>
      </w:r>
    </w:p>
    <w:p>
      <w:pPr>
        <w:pStyle w:val="ListBullet"/>
      </w:pPr>
      <w:r>
        <w:t>données de santé, y compris les arrêts de travail et les certificats médicaux ;</w:t>
      </w:r>
    </w:p>
    <w:p>
      <w:pPr>
        <w:pStyle w:val="ListBullet"/>
      </w:pPr>
      <w:r>
        <w:t>données relatives au personnel : paie, évaluations, sanctions, candidatures ;</w:t>
      </w:r>
    </w:p>
    <w:p>
      <w:pPr>
        <w:pStyle w:val="ListBullet"/>
      </w:pPr>
      <w:r>
        <w:t>numéros d'identification : numéro de sécurité sociale en France, numéro de registre national en Belgique, numéros de pièce d'identité ;</w:t>
      </w:r>
    </w:p>
    <w:p>
      <w:pPr>
        <w:pStyle w:val="ListBullet"/>
      </w:pPr>
      <w:r>
        <w:t>coordonnées bancaires et numéros de carte ;</w:t>
      </w:r>
    </w:p>
    <w:p>
      <w:pPr>
        <w:pStyle w:val="ListBullet"/>
      </w:pPr>
      <w:r>
        <w:t>mots de passe, codes d'accès et clés techniques ;</w:t>
      </w:r>
    </w:p>
    <w:p>
      <w:pPr>
        <w:pStyle w:val="ListBullet"/>
      </w:pPr>
      <w:r>
        <w:t>secrets d'affaires : tarifs non publics, marges, fichiers clients complets, stratégie, code source propriétaire ;</w:t>
      </w:r>
    </w:p>
    <w:p>
      <w:pPr>
        <w:pStyle w:val="ListBullet"/>
      </w:pPr>
      <w:r>
        <w:t>documents couverts par un secret professionnel ou par un accord de confidentialité signé avec un client ou un partenaire ;</w:t>
      </w:r>
    </w:p>
    <w:p>
      <w:pPr>
        <w:pStyle w:val="ListBullet"/>
      </w:pPr>
      <w:r>
        <w:t>[autre catégorie propre à votre activité].</w:t>
      </w:r>
    </w:p>
    <w:p>
      <w:r>
        <w:t>Remplacer un nom par une initiale ne suffit pas à rendre un document anonyme : si la personne reste reconnaissable par le contexte, le document relève toujours du niveau 2 ou du niveau 3.</w:t>
      </w:r>
    </w:p>
    <w:p>
      <w:pPr>
        <w:pStyle w:val="Heading1"/>
      </w:pPr>
      <w:r>
        <w:t>Article 4. Relecture humaine et responsabilité</w:t>
      </w:r>
    </w:p>
    <w:p>
      <w:r>
        <w:t>Tout contenu produit avec l'aide d'une IA est relu, vérifié et validé par une personne avant tout usage à l'extérieur de l'entreprise : envoi à un client, publication, devis, contrat, réponse à une administration. Vous vérifiez en particulier les chiffres, les dates, les noms, les citations et les références juridiques, qui peuvent être faux tout en paraissant plausibles.</w:t>
      </w:r>
    </w:p>
    <w:p>
      <w:r>
        <w:t>La personne qui valide un contenu en est responsable comme si elle l'avait rédigé seule.</w:t>
      </w:r>
    </w:p>
    <w:p>
      <w:r>
        <w:t>Aucune décision qui produit des effets juridiques pour une personne ou qui l'affecte de manière significative (recrutement, sanction, refus de service, conditions commerciales individuelles) n'est prise sur la seule base d'un résultat fourni par une IA.</w:t>
      </w:r>
    </w:p>
    <w:p>
      <w:r>
        <w:t>[Si vos équipes répondent aux clients avec l'aide de l'IA] Aucune réponse rédigée avec une IA n'est envoyée à un client sans relecture par la personne qui la signe.</w:t>
      </w:r>
    </w:p>
    <w:p>
      <w:pPr>
        <w:pStyle w:val="Heading1"/>
      </w:pPr>
      <w:r>
        <w:t>Article 5. Transparence et mentions</w:t>
      </w:r>
    </w:p>
    <w:p>
      <w:r>
        <w:t>Une image, un son ou une vidéo générés ou modifiés par une IA qui ressemblent de manière réaliste à des personnes, des lieux ou des événements existants portent une mention indiquant qu'ils ont été générés ou modifiés par une IA.</w:t>
      </w:r>
    </w:p>
    <w:p>
      <w:r>
        <w:t>Un texte généré par une IA et publié pour informer le public sur des questions d'intérêt public porte la même mention, sauf s'il a été relu et validé par une personne qui en assume la responsabilité éditoriale.</w:t>
      </w:r>
    </w:p>
    <w:p>
      <w:r>
        <w:t>Lorsqu'un client ou un partenaire demande si un document a été préparé avec une IA, vous répondez avec exactitude. Si un contrat avec un client encadre ou interdit l'usage de l'IA, ce contrat s'applique en priorité.</w:t>
      </w:r>
    </w:p>
    <w:p>
      <w:pPr>
        <w:pStyle w:val="Heading1"/>
      </w:pPr>
      <w:r>
        <w:t>Article 6. Usages interdits</w:t>
      </w:r>
    </w:p>
    <w:p>
      <w:r>
        <w:t>Il est interdit d'utiliser un outil d'IA pour :</w:t>
      </w:r>
    </w:p>
    <w:p>
      <w:pPr>
        <w:pStyle w:val="ListBullet"/>
      </w:pPr>
      <w:r>
        <w:t>déduire les émotions d'un collègue ou d'un candidat, par l'analyse de sa voix, de son visage ou de ses écrits ;</w:t>
      </w:r>
    </w:p>
    <w:p>
      <w:pPr>
        <w:pStyle w:val="ListBullet"/>
      </w:pPr>
      <w:r>
        <w:t>surveiller ou évaluer une personne sans qu'elle en ait été informée au préalable ;</w:t>
      </w:r>
    </w:p>
    <w:p>
      <w:pPr>
        <w:pStyle w:val="ListBullet"/>
      </w:pPr>
      <w:r>
        <w:t>trier des candidatures ou évaluer des performances sans l'accord écrit de la direction et du référent IA ;</w:t>
      </w:r>
    </w:p>
    <w:p>
      <w:pPr>
        <w:pStyle w:val="ListBullet"/>
      </w:pPr>
      <w:r>
        <w:t>produire de faux avis, de faux témoignages, ou l'image réaliste d'une personne sans son accord ;</w:t>
      </w:r>
    </w:p>
    <w:p>
      <w:pPr>
        <w:pStyle w:val="ListBullet"/>
      </w:pPr>
      <w:r>
        <w:t>transmettre à un outil des documents sur lesquels l'entreprise n'a pas de droits, ou reprendre telle quelle une production qui reproduit une œuvre existante ;</w:t>
      </w:r>
    </w:p>
    <w:p>
      <w:pPr>
        <w:pStyle w:val="ListBullet"/>
      </w:pPr>
      <w:r>
        <w:t>contourner la présente charte : compte personnel, outil non autorisé, copie de données vers un service non listé à l'article 2.</w:t>
      </w:r>
    </w:p>
    <w:p>
      <w:pPr>
        <w:pStyle w:val="Heading1"/>
      </w:pPr>
      <w:r>
        <w:t>Article 7. Formation</w:t>
      </w:r>
    </w:p>
    <w:p>
      <w:r>
        <w:t>Chaque utilisateur suit une sensibilisation [avant sa première utilisation / à son arrivée], puis [une fois par an]. Elle porte sur le fonctionnement et les limites des outils autorisés, les règles de la présente charte et les risques propres à son poste. L'entreprise tient un registre des sessions suivies (date, participants, contenu).</w:t>
      </w:r>
    </w:p>
    <w:p>
      <w:pPr>
        <w:pStyle w:val="Heading1"/>
      </w:pPr>
      <w:r>
        <w:t>Article 8. Référent IA et incidents</w:t>
      </w:r>
    </w:p>
    <w:p>
      <w:r>
        <w:t>Le référent IA, [nom, fonction], répond aux questions, valide les nouveaux outils et tient à jour la liste de l'article 2.</w:t>
      </w:r>
    </w:p>
    <w:p>
      <w:r>
        <w:t>Vous lui signalez sans attendre toute saisie par erreur de données de niveau 3, tout contenu erroné parti à l'extérieur et tout comportement anormal d'un outil. Si des données personnelles ont été exposées, le référent prévient [la direction / le délégué à la protection des données], qui évalue s'il s'agit d'une violation de données à notifier à l'autorité de protection des données (la CNIL en France, l'Autorité de protection des données en Belgique), si possible dans les 72 heures.</w:t>
      </w:r>
    </w:p>
    <w:p>
      <w:pPr>
        <w:pStyle w:val="Heading1"/>
      </w:pPr>
      <w:r>
        <w:t>Article 9. Contrôle et révision</w:t>
      </w:r>
    </w:p>
    <w:p>
      <w:r>
        <w:t>La liste des outils autorisés est revue [tous les six mois] ; la charte entière est revue au moins [une fois par an] et à chaque changement important d'outil ou de réglementation.</w:t>
      </w:r>
    </w:p>
    <w:p>
      <w:r>
        <w:t>Tout contrôle de l'utilisation des outils d'IA est proportionné à son objectif et porté à votre connaissance avant sa mise en place.</w:t>
      </w:r>
    </w:p>
    <w:p>
      <w:pPr>
        <w:pStyle w:val="Heading1"/>
      </w:pPr>
      <w:r>
        <w:t>Article 10. Valeur de la charte et accusé de réception</w:t>
      </w:r>
    </w:p>
    <w:p>
      <w:r>
        <w:t>[France, entreprise d'au moins 50 salariés] La présente charte constitue une adjonction au règlement intérieur. Elle a été soumise à l'avis du comité social et économique le [date], communiquée à l'inspection du travail le [date], déposée au greffe du conseil de prud'hommes le [date], et entre en vigueur le [date, au moins un mois après les formalités de publicité].</w:t>
      </w:r>
    </w:p>
    <w:p>
      <w:r>
        <w:t>[France, moins de 50 salariés, charte informative] La présente charte est remise à chaque utilisateur, qui en accuse réception.</w:t>
      </w:r>
    </w:p>
    <w:p>
      <w:r>
        <w:t>[France, moins de 50 salariés, charte pouvant fonder une sanction] La présente charte a été soumise à l'avis du comité social et économique le [date] (s'il existe), communiquée à l'inspection du travail le [date], déposée au greffe du conseil de prud'hommes le [date], et entre en vigueur le [date, au moins un mois après les formalités de publicité].</w:t>
      </w:r>
    </w:p>
    <w:p>
      <w:r>
        <w:t>[Belgique] Les manquements à la présente charte qui peuvent donner lieu à une pénalité sont repris dans le règlement de travail, modifié selon la procédure prévue par la loi du 8 avril 1965.</w:t>
      </w:r>
    </w:p>
    <w:p>
      <w:r>
        <w:t>Accusé de réception. Nom : [ ]. Fonction : [ ]. Date : [ ]. Signature : [ ].</w:t>
      </w:r>
    </w:p>
    <w:p>
      <w:r>
        <w:t>« J'ai lu la présente charte et je m'engage à la respecter. »</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d'utilisation de l'intelligence artificielle</dc:title>
  <dc:subject>Modèle de charte IA pour PME, France et Belgique</dc:subject>
  <dc:creator>maccus.fr</dc:creator>
  <cp:keywords>charte IA, entreprise, modèle</cp:keywords>
  <dc:description>Modèle maccus.fr, version du 10 octobre 2026. Ce modèle est un point de départ à adapter à votre entreprise ; il ne remplace pas un avis juridique.</dc:description>
  <cp:lastModifiedBy/>
  <cp:revision>1</cp:revision>
  <dcterms:created xsi:type="dcterms:W3CDTF">2013-12-23T23:15:00Z</dcterms:created>
  <dcterms:modified xsi:type="dcterms:W3CDTF">2013-12-23T23:15:00Z</dcterms:modified>
  <cp:category/>
</cp:coreProperties>
</file>