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Registre de formation et de sensibilisation à l'IA</w:t>
      </w:r>
    </w:p>
    <w:p>
      <w:r>
        <w:rPr>
          <w:b/>
        </w:rPr>
        <w:t>[Nom de l'entreprise]</w:t>
      </w:r>
    </w:p>
    <w:p>
      <w:r>
        <w:rPr>
          <w:b w:val="0"/>
        </w:rPr>
        <w:t>Registre ouvert le [date]. Tenu par : [référent IA, nom et fonction].</w:t>
      </w:r>
    </w:p>
    <w:p>
      <w:r>
        <w:rPr>
          <w:i/>
          <w:color w:val="555555"/>
          <w:sz w:val="18"/>
        </w:rPr>
        <w:t>Modèle maccus.fr, version du 10 octobre 2026. Ce modèle est un point de départ à adapter à votre entreprise ; il ne remplace pas un avis juridique.</w:t>
      </w:r>
    </w:p>
    <w:p>
      <w:pPr>
        <w:pStyle w:val="Heading1"/>
      </w:pPr>
      <w:r>
        <w:t>Mode d'emploi</w:t>
      </w:r>
    </w:p>
    <w:p>
      <w:r>
        <w:t>Ce registre consigne les mesures prises par l'entreprise pour favoriser la maîtrise de l'IA de son personnel et des autres personnes qui utilisent des systèmes d'IA pour son compte (prestataires, intérimaires, indépendants), au sens de l'article 4 du règlement (UE) 2024/1689 dans sa version issue du règlement (UE) 2026/1744. La Commission européenne indique qu'aucun certificat n'est nécessaire et qu'une organisation peut tenir un registre interne des formations et des autres actions d'accompagnement.</w:t>
      </w:r>
    </w:p>
    <w:p>
      <w:r>
        <w:t>Partie 1 : l'inventaire des outils d'IA utilisés, à mettre à jour à chaque nouvel outil ou nouvel usage.</w:t>
      </w:r>
    </w:p>
    <w:p>
      <w:r>
        <w:t>Partie 2 : le registre des actions (sessions, formations externes, modules en ligne, charte remise, consignes écrites, prompts types), une ligne par action.</w:t>
      </w:r>
    </w:p>
    <w:p>
      <w:r>
        <w:t>Partie 3 : la feuille de présence, une par action, avec la signature ou l'accusé de réception de chaque personne.</w:t>
      </w:r>
    </w:p>
    <w:p>
      <w:r>
        <w:t>Annexe : une trame de session de 45 minutes avec trois exercices.</w:t>
      </w:r>
    </w:p>
    <w:p>
      <w:r>
        <w:t>Données personnelles : ce registre contient des noms et des fonctions. Il ne contient ni note, ni résultat de test individuel. Durée de conservation fixée par l'entreprise : [durée]. Accès réservé à : [personnes].</w:t>
      </w:r>
    </w:p>
    <w:p>
      <w:pPr>
        <w:sectPr>
          <w:footerReference w:type="default" r:id="rId9"/>
          <w:pgSz w:w="11906" w:h="16838"/>
          <w:pgMar w:top="1134" w:right="1247" w:bottom="1134" w:left="1247" w:header="720" w:footer="720" w:gutter="0"/>
          <w:cols w:space="720"/>
          <w:docGrid w:linePitch="360"/>
        </w:sectPr>
      </w:pPr>
    </w:p>
    <w:p>
      <w:pPr>
        <w:pStyle w:val="Heading1"/>
      </w:pPr>
      <w:r>
        <w:t>Partie 1. Inventaire des outils d'IA</w:t>
      </w:r>
    </w:p>
    <w:p>
      <w:r>
        <w:rPr>
          <w:i/>
          <w:color w:val="555555"/>
          <w:sz w:val="18"/>
        </w:rPr>
        <w:t>Une ligne par outil, y compris les fonctions d'IA intégrées à des logiciels déjà utilisés. Les lignes grisées sont des exemples à remplacer.</w:t>
      </w:r>
    </w:p>
    <w:tbl>
      <w:tblPr>
        <w:tblStyle w:val="TableGrid"/>
        <w:tblW w:type="auto" w:w="0"/>
        <w:jc w:val="center"/>
        <w:tblLook w:firstColumn="1" w:firstRow="1" w:lastColumn="0" w:lastRow="0" w:noHBand="0" w:noVBand="1" w:val="04A0"/>
      </w:tblPr>
      <w:tblGrid>
        <w:gridCol w:w="2146"/>
        <w:gridCol w:w="2146"/>
        <w:gridCol w:w="2146"/>
        <w:gridCol w:w="2146"/>
        <w:gridCol w:w="2146"/>
        <w:gridCol w:w="2146"/>
        <w:gridCol w:w="2146"/>
      </w:tblGrid>
      <w:tr>
        <w:trPr>
          <w:tblHeader w:val="true"/>
        </w:trPr>
        <w:tc>
          <w:tcPr>
            <w:tcW w:type="dxa" w:w="2381"/>
            <w:shd w:val="clear" w:color="auto" w:fill="1E4F86"/>
          </w:tcPr>
          <w:p>
            <w:pPr>
              <w:spacing w:after="0"/>
            </w:pPr>
            <w:r/>
            <w:r>
              <w:rPr>
                <w:b/>
                <w:i w:val="0"/>
                <w:color w:val="FFFFFF"/>
                <w:sz w:val="17"/>
              </w:rPr>
              <w:t>Outil et offre</w:t>
            </w:r>
          </w:p>
        </w:tc>
        <w:tc>
          <w:tcPr>
            <w:tcW w:type="dxa" w:w="2268"/>
            <w:shd w:val="clear" w:color="auto" w:fill="1E4F86"/>
          </w:tcPr>
          <w:p>
            <w:pPr>
              <w:spacing w:after="0"/>
            </w:pPr>
            <w:r/>
            <w:r>
              <w:rPr>
                <w:b/>
                <w:i w:val="0"/>
                <w:color w:val="FFFFFF"/>
                <w:sz w:val="17"/>
              </w:rPr>
              <w:t>Usages dans l'entreprise</w:t>
            </w:r>
          </w:p>
        </w:tc>
        <w:tc>
          <w:tcPr>
            <w:tcW w:type="dxa" w:w="1814"/>
            <w:shd w:val="clear" w:color="auto" w:fill="1E4F86"/>
          </w:tcPr>
          <w:p>
            <w:pPr>
              <w:spacing w:after="0"/>
            </w:pPr>
            <w:r/>
            <w:r>
              <w:rPr>
                <w:b/>
                <w:i w:val="0"/>
                <w:color w:val="FFFFFF"/>
                <w:sz w:val="17"/>
              </w:rPr>
              <w:t>Rôle de l'entreprise</w:t>
            </w:r>
          </w:p>
        </w:tc>
        <w:tc>
          <w:tcPr>
            <w:tcW w:type="dxa" w:w="1928"/>
            <w:shd w:val="clear" w:color="auto" w:fill="1E4F86"/>
          </w:tcPr>
          <w:p>
            <w:pPr>
              <w:spacing w:after="0"/>
            </w:pPr>
            <w:r/>
            <w:r>
              <w:rPr>
                <w:b/>
                <w:i w:val="0"/>
                <w:color w:val="FFFFFF"/>
                <w:sz w:val="17"/>
              </w:rPr>
              <w:t>Utilisateurs</w:t>
            </w:r>
          </w:p>
        </w:tc>
        <w:tc>
          <w:tcPr>
            <w:tcW w:type="dxa" w:w="2608"/>
            <w:shd w:val="clear" w:color="auto" w:fill="1E4F86"/>
          </w:tcPr>
          <w:p>
            <w:pPr>
              <w:spacing w:after="0"/>
            </w:pPr>
            <w:r/>
            <w:r>
              <w:rPr>
                <w:b/>
                <w:i w:val="0"/>
                <w:color w:val="FFFFFF"/>
                <w:sz w:val="17"/>
              </w:rPr>
              <w:t>Risques à connaître</w:t>
            </w:r>
          </w:p>
        </w:tc>
        <w:tc>
          <w:tcPr>
            <w:tcW w:type="dxa" w:w="1814"/>
            <w:shd w:val="clear" w:color="auto" w:fill="1E4F86"/>
          </w:tcPr>
          <w:p>
            <w:pPr>
              <w:spacing w:after="0"/>
            </w:pPr>
            <w:r/>
            <w:r>
              <w:rPr>
                <w:b/>
                <w:i w:val="0"/>
                <w:color w:val="FFFFFF"/>
                <w:sz w:val="17"/>
              </w:rPr>
              <w:t>Niveau de données autorisé</w:t>
            </w:r>
          </w:p>
        </w:tc>
        <w:tc>
          <w:tcPr>
            <w:tcW w:type="dxa" w:w="1928"/>
            <w:shd w:val="clear" w:color="auto" w:fill="1E4F86"/>
          </w:tcPr>
          <w:p>
            <w:pPr>
              <w:spacing w:after="0"/>
            </w:pPr>
            <w:r/>
            <w:r>
              <w:rPr>
                <w:b/>
                <w:i w:val="0"/>
                <w:color w:val="FFFFFF"/>
                <w:sz w:val="17"/>
              </w:rPr>
              <w:t>Ajouté le / revu le</w:t>
            </w:r>
          </w:p>
        </w:tc>
      </w:tr>
      <w:tr>
        <w:tc>
          <w:tcPr>
            <w:tcW w:type="dxa" w:w="2381"/>
            <w:shd w:val="clear" w:color="auto" w:fill="F2F5F9"/>
          </w:tcPr>
          <w:p>
            <w:pPr>
              <w:spacing w:after="0"/>
            </w:pPr>
            <w:r/>
            <w:r>
              <w:rPr>
                <w:b w:val="0"/>
                <w:i/>
                <w:color w:val="555F6E"/>
                <w:sz w:val="16"/>
              </w:rPr>
              <w:t>Exemple : assistant conversationnel, offre professionnelle</w:t>
            </w:r>
          </w:p>
        </w:tc>
        <w:tc>
          <w:tcPr>
            <w:tcW w:type="dxa" w:w="2268"/>
            <w:shd w:val="clear" w:color="auto" w:fill="F2F5F9"/>
          </w:tcPr>
          <w:p>
            <w:pPr>
              <w:spacing w:after="0"/>
            </w:pPr>
            <w:r/>
            <w:r>
              <w:rPr>
                <w:b w:val="0"/>
                <w:i/>
                <w:color w:val="555F6E"/>
                <w:sz w:val="16"/>
              </w:rPr>
              <w:t>Courriels, synthèses de réunion</w:t>
            </w:r>
          </w:p>
        </w:tc>
        <w:tc>
          <w:tcPr>
            <w:tcW w:type="dxa" w:w="1814"/>
            <w:shd w:val="clear" w:color="auto" w:fill="F2F5F9"/>
          </w:tcPr>
          <w:p>
            <w:pPr>
              <w:spacing w:after="0"/>
            </w:pPr>
            <w:r/>
            <w:r>
              <w:rPr>
                <w:b w:val="0"/>
                <w:i/>
                <w:color w:val="555F6E"/>
                <w:sz w:val="16"/>
              </w:rPr>
              <w:t>Déployeur (utilise l'outil)</w:t>
            </w:r>
          </w:p>
        </w:tc>
        <w:tc>
          <w:tcPr>
            <w:tcW w:type="dxa" w:w="1928"/>
            <w:shd w:val="clear" w:color="auto" w:fill="F2F5F9"/>
          </w:tcPr>
          <w:p>
            <w:pPr>
              <w:spacing w:after="0"/>
            </w:pPr>
            <w:r/>
            <w:r>
              <w:rPr>
                <w:b w:val="0"/>
                <w:i/>
                <w:color w:val="555F6E"/>
                <w:sz w:val="16"/>
              </w:rPr>
              <w:t>Service commercial, 4 personnes</w:t>
            </w:r>
          </w:p>
        </w:tc>
        <w:tc>
          <w:tcPr>
            <w:tcW w:type="dxa" w:w="2608"/>
            <w:shd w:val="clear" w:color="auto" w:fill="F2F5F9"/>
          </w:tcPr>
          <w:p>
            <w:pPr>
              <w:spacing w:after="0"/>
            </w:pPr>
            <w:r/>
            <w:r>
              <w:rPr>
                <w:b w:val="0"/>
                <w:i/>
                <w:color w:val="555F6E"/>
                <w:sz w:val="16"/>
              </w:rPr>
              <w:t>Réponses inexactes, données clients</w:t>
            </w:r>
          </w:p>
        </w:tc>
        <w:tc>
          <w:tcPr>
            <w:tcW w:type="dxa" w:w="1814"/>
            <w:shd w:val="clear" w:color="auto" w:fill="F2F5F9"/>
          </w:tcPr>
          <w:p>
            <w:pPr>
              <w:spacing w:after="0"/>
            </w:pPr>
            <w:r/>
            <w:r>
              <w:rPr>
                <w:b w:val="0"/>
                <w:i/>
                <w:color w:val="555F6E"/>
                <w:sz w:val="16"/>
              </w:rPr>
              <w:t>Niveau 2 (charte, article 3)</w:t>
            </w:r>
          </w:p>
        </w:tc>
        <w:tc>
          <w:tcPr>
            <w:tcW w:type="dxa" w:w="1928"/>
            <w:shd w:val="clear" w:color="auto" w:fill="F2F5F9"/>
          </w:tcPr>
          <w:p>
            <w:pPr>
              <w:spacing w:after="0"/>
            </w:pPr>
            <w:r/>
            <w:r>
              <w:rPr>
                <w:b w:val="0"/>
                <w:i/>
                <w:color w:val="555F6E"/>
                <w:sz w:val="16"/>
              </w:rPr>
              <w:t>14/10/2026 / 14/04/2027</w:t>
            </w:r>
          </w:p>
        </w:tc>
      </w:tr>
      <w:tr>
        <w:tc>
          <w:tcPr>
            <w:tcW w:type="dxa" w:w="2381"/>
            <w:shd w:val="clear" w:color="auto" w:fill="F2F5F9"/>
          </w:tcPr>
          <w:p>
            <w:pPr>
              <w:spacing w:after="0"/>
            </w:pPr>
            <w:r/>
            <w:r>
              <w:rPr>
                <w:b w:val="0"/>
                <w:i/>
                <w:color w:val="555F6E"/>
                <w:sz w:val="16"/>
              </w:rPr>
              <w:t>Exemple : IA intégrée au logiciel de messagerie</w:t>
            </w:r>
          </w:p>
        </w:tc>
        <w:tc>
          <w:tcPr>
            <w:tcW w:type="dxa" w:w="2268"/>
            <w:shd w:val="clear" w:color="auto" w:fill="F2F5F9"/>
          </w:tcPr>
          <w:p>
            <w:pPr>
              <w:spacing w:after="0"/>
            </w:pPr>
            <w:r/>
            <w:r>
              <w:rPr>
                <w:b w:val="0"/>
                <w:i/>
                <w:color w:val="555F6E"/>
                <w:sz w:val="16"/>
              </w:rPr>
              <w:t>Résumés de fils de discussion</w:t>
            </w:r>
          </w:p>
        </w:tc>
        <w:tc>
          <w:tcPr>
            <w:tcW w:type="dxa" w:w="1814"/>
            <w:shd w:val="clear" w:color="auto" w:fill="F2F5F9"/>
          </w:tcPr>
          <w:p>
            <w:pPr>
              <w:spacing w:after="0"/>
            </w:pPr>
            <w:r/>
            <w:r>
              <w:rPr>
                <w:b w:val="0"/>
                <w:i/>
                <w:color w:val="555F6E"/>
                <w:sz w:val="16"/>
              </w:rPr>
              <w:t>Déployeur</w:t>
            </w:r>
          </w:p>
        </w:tc>
        <w:tc>
          <w:tcPr>
            <w:tcW w:type="dxa" w:w="1928"/>
            <w:shd w:val="clear" w:color="auto" w:fill="F2F5F9"/>
          </w:tcPr>
          <w:p>
            <w:pPr>
              <w:spacing w:after="0"/>
            </w:pPr>
            <w:r/>
            <w:r>
              <w:rPr>
                <w:b w:val="0"/>
                <w:i/>
                <w:color w:val="555F6E"/>
                <w:sz w:val="16"/>
              </w:rPr>
              <w:t>Toute l'équipe</w:t>
            </w:r>
          </w:p>
        </w:tc>
        <w:tc>
          <w:tcPr>
            <w:tcW w:type="dxa" w:w="2608"/>
            <w:shd w:val="clear" w:color="auto" w:fill="F2F5F9"/>
          </w:tcPr>
          <w:p>
            <w:pPr>
              <w:spacing w:after="0"/>
            </w:pPr>
            <w:r/>
            <w:r>
              <w:rPr>
                <w:b w:val="0"/>
                <w:i/>
                <w:color w:val="555F6E"/>
                <w:sz w:val="16"/>
              </w:rPr>
              <w:t>Résumés incomplets, accès à tous les messages</w:t>
            </w:r>
          </w:p>
        </w:tc>
        <w:tc>
          <w:tcPr>
            <w:tcW w:type="dxa" w:w="1814"/>
            <w:shd w:val="clear" w:color="auto" w:fill="F2F5F9"/>
          </w:tcPr>
          <w:p>
            <w:pPr>
              <w:spacing w:after="0"/>
            </w:pPr>
            <w:r/>
            <w:r>
              <w:rPr>
                <w:b w:val="0"/>
                <w:i/>
                <w:color w:val="555F6E"/>
                <w:sz w:val="16"/>
              </w:rPr>
              <w:t>Niveau 2</w:t>
            </w:r>
          </w:p>
        </w:tc>
        <w:tc>
          <w:tcPr>
            <w:tcW w:type="dxa" w:w="1928"/>
            <w:shd w:val="clear" w:color="auto" w:fill="F2F5F9"/>
          </w:tcPr>
          <w:p>
            <w:pPr>
              <w:spacing w:after="0"/>
            </w:pPr>
            <w:r/>
            <w:r>
              <w:rPr>
                <w:b w:val="0"/>
                <w:i/>
                <w:color w:val="555F6E"/>
                <w:sz w:val="16"/>
              </w:rPr>
              <w:t>14/10/2026 / 14/04/2027</w:t>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r>
        <w:trPr>
          <w:trHeight w:val="510"/>
        </w:trPr>
        <w:tc>
          <w:tcPr>
            <w:tcW w:type="dxa" w:w="2381"/>
          </w:tcPr>
          <w:p>
            <w:pPr>
              <w:spacing w:after="0"/>
            </w:pPr>
            <w:r/>
            <w:r>
              <w:rPr>
                <w:b w:val="0"/>
                <w:i w:val="0"/>
                <w:sz w:val="17"/>
              </w:rPr>
            </w:r>
          </w:p>
        </w:tc>
        <w:tc>
          <w:tcPr>
            <w:tcW w:type="dxa" w:w="226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c>
          <w:tcPr>
            <w:tcW w:type="dxa" w:w="2608"/>
          </w:tcPr>
          <w:p>
            <w:pPr>
              <w:spacing w:after="0"/>
            </w:pPr>
            <w:r/>
            <w:r>
              <w:rPr>
                <w:b w:val="0"/>
                <w:i w:val="0"/>
                <w:sz w:val="17"/>
              </w:rPr>
            </w:r>
          </w:p>
        </w:tc>
        <w:tc>
          <w:tcPr>
            <w:tcW w:type="dxa" w:w="1814"/>
          </w:tcPr>
          <w:p>
            <w:pPr>
              <w:spacing w:after="0"/>
            </w:pPr>
            <w:r/>
            <w:r>
              <w:rPr>
                <w:b w:val="0"/>
                <w:i w:val="0"/>
                <w:sz w:val="17"/>
              </w:rPr>
            </w:r>
          </w:p>
        </w:tc>
        <w:tc>
          <w:tcPr>
            <w:tcW w:type="dxa" w:w="1928"/>
          </w:tcPr>
          <w:p>
            <w:pPr>
              <w:spacing w:after="0"/>
            </w:pPr>
            <w:r/>
            <w:r>
              <w:rPr>
                <w:b w:val="0"/>
                <w:i w:val="0"/>
                <w:sz w:val="17"/>
              </w:rPr>
            </w:r>
          </w:p>
        </w:tc>
      </w:tr>
    </w:tbl>
    <w:p>
      <w:pPr>
        <w:sectPr>
          <w:pgSz w:w="16838" w:h="11906" w:orient="landscape"/>
          <w:pgMar w:top="907" w:right="907" w:bottom="907" w:left="907" w:header="720" w:footer="720" w:gutter="0"/>
          <w:cols w:space="720"/>
          <w:docGrid w:linePitch="360"/>
        </w:sectPr>
      </w:pPr>
    </w:p>
    <w:p>
      <w:pPr>
        <w:pStyle w:val="Heading1"/>
      </w:pPr>
      <w:r>
        <w:t>Partie 2. Registre des actions</w:t>
      </w:r>
    </w:p>
    <w:p>
      <w:r>
        <w:rPr>
          <w:i/>
          <w:color w:val="555555"/>
          <w:sz w:val="18"/>
        </w:rPr>
        <w:t>Types d'action possibles : session interne ; formation externe ; module en ligne ; remise de la charte IA ; note ou consigne écrite ; prompts types ; point d'équipe ; accueil d'un nouvel arrivant ; information d'un prestataire ; retour d'expérience après un incident.</w:t>
      </w:r>
    </w:p>
    <w:tbl>
      <w:tblPr>
        <w:tblStyle w:val="TableGrid"/>
        <w:tblW w:type="auto" w:w="0"/>
        <w:jc w:val="center"/>
        <w:tblLook w:firstColumn="1" w:firstRow="1" w:lastColumn="0" w:lastRow="0" w:noHBand="0" w:noVBand="1" w:val="04A0"/>
      </w:tblPr>
      <w:tblGrid>
        <w:gridCol w:w="1502"/>
        <w:gridCol w:w="1502"/>
        <w:gridCol w:w="1502"/>
        <w:gridCol w:w="1502"/>
        <w:gridCol w:w="1502"/>
        <w:gridCol w:w="1502"/>
        <w:gridCol w:w="1502"/>
        <w:gridCol w:w="1502"/>
        <w:gridCol w:w="1502"/>
        <w:gridCol w:w="1502"/>
      </w:tblGrid>
      <w:tr>
        <w:trPr>
          <w:tblHeader w:val="true"/>
        </w:trPr>
        <w:tc>
          <w:tcPr>
            <w:tcW w:type="dxa" w:w="510"/>
            <w:shd w:val="clear" w:color="auto" w:fill="1E4F86"/>
          </w:tcPr>
          <w:p>
            <w:pPr>
              <w:spacing w:after="0"/>
            </w:pPr>
            <w:r/>
            <w:r>
              <w:rPr>
                <w:b/>
                <w:i w:val="0"/>
                <w:color w:val="FFFFFF"/>
                <w:sz w:val="17"/>
              </w:rPr>
              <w:t>N°</w:t>
            </w:r>
          </w:p>
        </w:tc>
        <w:tc>
          <w:tcPr>
            <w:tcW w:type="dxa" w:w="1134"/>
            <w:shd w:val="clear" w:color="auto" w:fill="1E4F86"/>
          </w:tcPr>
          <w:p>
            <w:pPr>
              <w:spacing w:after="0"/>
            </w:pPr>
            <w:r/>
            <w:r>
              <w:rPr>
                <w:b/>
                <w:i w:val="0"/>
                <w:color w:val="FFFFFF"/>
                <w:sz w:val="17"/>
              </w:rPr>
              <w:t>Date</w:t>
            </w:r>
          </w:p>
        </w:tc>
        <w:tc>
          <w:tcPr>
            <w:tcW w:type="dxa" w:w="1474"/>
            <w:shd w:val="clear" w:color="auto" w:fill="1E4F86"/>
          </w:tcPr>
          <w:p>
            <w:pPr>
              <w:spacing w:after="0"/>
            </w:pPr>
            <w:r/>
            <w:r>
              <w:rPr>
                <w:b/>
                <w:i w:val="0"/>
                <w:color w:val="FFFFFF"/>
                <w:sz w:val="17"/>
              </w:rPr>
              <w:t>Type d'action</w:t>
            </w:r>
          </w:p>
        </w:tc>
        <w:tc>
          <w:tcPr>
            <w:tcW w:type="dxa" w:w="794"/>
            <w:shd w:val="clear" w:color="auto" w:fill="1E4F86"/>
          </w:tcPr>
          <w:p>
            <w:pPr>
              <w:spacing w:after="0"/>
            </w:pPr>
            <w:r/>
            <w:r>
              <w:rPr>
                <w:b/>
                <w:i w:val="0"/>
                <w:color w:val="FFFFFF"/>
                <w:sz w:val="17"/>
              </w:rPr>
              <w:t>Durée</w:t>
            </w:r>
          </w:p>
        </w:tc>
        <w:tc>
          <w:tcPr>
            <w:tcW w:type="dxa" w:w="1361"/>
            <w:shd w:val="clear" w:color="auto" w:fill="1E4F86"/>
          </w:tcPr>
          <w:p>
            <w:pPr>
              <w:spacing w:after="0"/>
            </w:pPr>
            <w:r/>
            <w:r>
              <w:rPr>
                <w:b/>
                <w:i w:val="0"/>
                <w:color w:val="FFFFFF"/>
                <w:sz w:val="17"/>
              </w:rPr>
              <w:t>Animée par ou source</w:t>
            </w:r>
          </w:p>
        </w:tc>
        <w:tc>
          <w:tcPr>
            <w:tcW w:type="dxa" w:w="1587"/>
            <w:shd w:val="clear" w:color="auto" w:fill="1E4F86"/>
          </w:tcPr>
          <w:p>
            <w:pPr>
              <w:spacing w:after="0"/>
            </w:pPr>
            <w:r/>
            <w:r>
              <w:rPr>
                <w:b/>
                <w:i w:val="0"/>
                <w:color w:val="FFFFFF"/>
                <w:sz w:val="17"/>
              </w:rPr>
              <w:t>Public (profil, niveau)</w:t>
            </w:r>
          </w:p>
        </w:tc>
        <w:tc>
          <w:tcPr>
            <w:tcW w:type="dxa" w:w="1474"/>
            <w:shd w:val="clear" w:color="auto" w:fill="1E4F86"/>
          </w:tcPr>
          <w:p>
            <w:pPr>
              <w:spacing w:after="0"/>
            </w:pPr>
            <w:r/>
            <w:r>
              <w:rPr>
                <w:b/>
                <w:i w:val="0"/>
                <w:color w:val="FFFFFF"/>
                <w:sz w:val="17"/>
              </w:rPr>
              <w:t>Outils concernés</w:t>
            </w:r>
          </w:p>
        </w:tc>
        <w:tc>
          <w:tcPr>
            <w:tcW w:type="dxa" w:w="2608"/>
            <w:shd w:val="clear" w:color="auto" w:fill="1E4F86"/>
          </w:tcPr>
          <w:p>
            <w:pPr>
              <w:spacing w:after="0"/>
            </w:pPr>
            <w:r/>
            <w:r>
              <w:rPr>
                <w:b/>
                <w:i w:val="0"/>
                <w:color w:val="FFFFFF"/>
                <w:sz w:val="17"/>
              </w:rPr>
              <w:t>Contenu et risques abordés</w:t>
            </w:r>
          </w:p>
        </w:tc>
        <w:tc>
          <w:tcPr>
            <w:tcW w:type="dxa" w:w="1757"/>
            <w:shd w:val="clear" w:color="auto" w:fill="1E4F86"/>
          </w:tcPr>
          <w:p>
            <w:pPr>
              <w:spacing w:after="0"/>
            </w:pPr>
            <w:r/>
            <w:r>
              <w:rPr>
                <w:b/>
                <w:i w:val="0"/>
                <w:color w:val="FFFFFF"/>
                <w:sz w:val="17"/>
              </w:rPr>
              <w:t>Supports remis</w:t>
            </w:r>
          </w:p>
        </w:tc>
        <w:tc>
          <w:tcPr>
            <w:tcW w:type="dxa" w:w="1814"/>
            <w:shd w:val="clear" w:color="auto" w:fill="1E4F86"/>
          </w:tcPr>
          <w:p>
            <w:pPr>
              <w:spacing w:after="0"/>
            </w:pPr>
            <w:r/>
            <w:r>
              <w:rPr>
                <w:b/>
                <w:i w:val="0"/>
                <w:color w:val="FFFFFF"/>
                <w:sz w:val="17"/>
              </w:rPr>
              <w:t>Suivi prévu</w:t>
            </w:r>
          </w:p>
        </w:tc>
      </w:tr>
      <w:tr>
        <w:tc>
          <w:tcPr>
            <w:tcW w:type="dxa" w:w="510"/>
            <w:shd w:val="clear" w:color="auto" w:fill="F2F5F9"/>
          </w:tcPr>
          <w:p>
            <w:pPr>
              <w:spacing w:after="0"/>
            </w:pPr>
            <w:r/>
            <w:r>
              <w:rPr>
                <w:b w:val="0"/>
                <w:i/>
                <w:color w:val="555F6E"/>
                <w:sz w:val="16"/>
              </w:rPr>
              <w:t>1</w:t>
            </w:r>
          </w:p>
        </w:tc>
        <w:tc>
          <w:tcPr>
            <w:tcW w:type="dxa" w:w="1134"/>
            <w:shd w:val="clear" w:color="auto" w:fill="F2F5F9"/>
          </w:tcPr>
          <w:p>
            <w:pPr>
              <w:spacing w:after="0"/>
            </w:pPr>
            <w:r/>
            <w:r>
              <w:rPr>
                <w:b w:val="0"/>
                <w:i/>
                <w:color w:val="555F6E"/>
                <w:sz w:val="16"/>
              </w:rPr>
              <w:t>14/10/2026</w:t>
            </w:r>
          </w:p>
        </w:tc>
        <w:tc>
          <w:tcPr>
            <w:tcW w:type="dxa" w:w="1474"/>
            <w:shd w:val="clear" w:color="auto" w:fill="F2F5F9"/>
          </w:tcPr>
          <w:p>
            <w:pPr>
              <w:spacing w:after="0"/>
            </w:pPr>
            <w:r/>
            <w:r>
              <w:rPr>
                <w:b w:val="0"/>
                <w:i/>
                <w:color w:val="555F6E"/>
                <w:sz w:val="16"/>
              </w:rPr>
              <w:t>Session interne</w:t>
            </w:r>
          </w:p>
        </w:tc>
        <w:tc>
          <w:tcPr>
            <w:tcW w:type="dxa" w:w="794"/>
            <w:shd w:val="clear" w:color="auto" w:fill="F2F5F9"/>
          </w:tcPr>
          <w:p>
            <w:pPr>
              <w:spacing w:after="0"/>
            </w:pPr>
            <w:r/>
            <w:r>
              <w:rPr>
                <w:b w:val="0"/>
                <w:i/>
                <w:color w:val="555F6E"/>
                <w:sz w:val="16"/>
              </w:rPr>
              <w:t>45 min</w:t>
            </w:r>
          </w:p>
        </w:tc>
        <w:tc>
          <w:tcPr>
            <w:tcW w:type="dxa" w:w="1361"/>
            <w:shd w:val="clear" w:color="auto" w:fill="F2F5F9"/>
          </w:tcPr>
          <w:p>
            <w:pPr>
              <w:spacing w:after="0"/>
            </w:pPr>
            <w:r/>
            <w:r>
              <w:rPr>
                <w:b w:val="0"/>
                <w:i/>
                <w:color w:val="555F6E"/>
                <w:sz w:val="16"/>
              </w:rPr>
              <w:t>[Référent IA]</w:t>
            </w:r>
          </w:p>
        </w:tc>
        <w:tc>
          <w:tcPr>
            <w:tcW w:type="dxa" w:w="1587"/>
            <w:shd w:val="clear" w:color="auto" w:fill="F2F5F9"/>
          </w:tcPr>
          <w:p>
            <w:pPr>
              <w:spacing w:after="0"/>
            </w:pPr>
            <w:r/>
            <w:r>
              <w:rPr>
                <w:b w:val="0"/>
                <w:i/>
                <w:color w:val="555F6E"/>
                <w:sz w:val="16"/>
              </w:rPr>
              <w:t>Toute l'équipe, débutants</w:t>
            </w:r>
          </w:p>
        </w:tc>
        <w:tc>
          <w:tcPr>
            <w:tcW w:type="dxa" w:w="1474"/>
            <w:shd w:val="clear" w:color="auto" w:fill="F2F5F9"/>
          </w:tcPr>
          <w:p>
            <w:pPr>
              <w:spacing w:after="0"/>
            </w:pPr>
            <w:r/>
            <w:r>
              <w:rPr>
                <w:b w:val="0"/>
                <w:i/>
                <w:color w:val="555F6E"/>
                <w:sz w:val="16"/>
              </w:rPr>
              <w:t>[Outil 1], [Outil 2]</w:t>
            </w:r>
          </w:p>
        </w:tc>
        <w:tc>
          <w:tcPr>
            <w:tcW w:type="dxa" w:w="2608"/>
            <w:shd w:val="clear" w:color="auto" w:fill="F2F5F9"/>
          </w:tcPr>
          <w:p>
            <w:pPr>
              <w:spacing w:after="0"/>
            </w:pPr>
            <w:r/>
            <w:r>
              <w:rPr>
                <w:b w:val="0"/>
                <w:i/>
                <w:color w:val="555F6E"/>
                <w:sz w:val="16"/>
              </w:rPr>
              <w:t>Fonctionnement et limites, vérification des faits, niveaux de données, relecture avant envoi</w:t>
            </w:r>
          </w:p>
        </w:tc>
        <w:tc>
          <w:tcPr>
            <w:tcW w:type="dxa" w:w="1757"/>
            <w:shd w:val="clear" w:color="auto" w:fill="F2F5F9"/>
          </w:tcPr>
          <w:p>
            <w:pPr>
              <w:spacing w:after="0"/>
            </w:pPr>
            <w:r/>
            <w:r>
              <w:rPr>
                <w:b w:val="0"/>
                <w:i/>
                <w:color w:val="555F6E"/>
                <w:sz w:val="16"/>
              </w:rPr>
              <w:t>Charte IA v1.0, fiche de prompts types</w:t>
            </w:r>
          </w:p>
        </w:tc>
        <w:tc>
          <w:tcPr>
            <w:tcW w:type="dxa" w:w="1814"/>
            <w:shd w:val="clear" w:color="auto" w:fill="F2F5F9"/>
          </w:tcPr>
          <w:p>
            <w:pPr>
              <w:spacing w:after="0"/>
            </w:pPr>
            <w:r/>
            <w:r>
              <w:rPr>
                <w:b w:val="0"/>
                <w:i/>
                <w:color w:val="555F6E"/>
                <w:sz w:val="16"/>
              </w:rPr>
              <w:t>Point d'équipe dans 3 mois</w:t>
            </w:r>
          </w:p>
        </w:tc>
      </w:tr>
      <w:tr>
        <w:tc>
          <w:tcPr>
            <w:tcW w:type="dxa" w:w="510"/>
            <w:shd w:val="clear" w:color="auto" w:fill="F2F5F9"/>
          </w:tcPr>
          <w:p>
            <w:pPr>
              <w:spacing w:after="0"/>
            </w:pPr>
            <w:r/>
            <w:r>
              <w:rPr>
                <w:b w:val="0"/>
                <w:i/>
                <w:color w:val="555F6E"/>
                <w:sz w:val="16"/>
              </w:rPr>
              <w:t>2</w:t>
            </w:r>
          </w:p>
        </w:tc>
        <w:tc>
          <w:tcPr>
            <w:tcW w:type="dxa" w:w="1134"/>
            <w:shd w:val="clear" w:color="auto" w:fill="F2F5F9"/>
          </w:tcPr>
          <w:p>
            <w:pPr>
              <w:spacing w:after="0"/>
            </w:pPr>
            <w:r/>
            <w:r>
              <w:rPr>
                <w:b w:val="0"/>
                <w:i/>
                <w:color w:val="555F6E"/>
                <w:sz w:val="16"/>
              </w:rPr>
              <w:t>21/10/2026</w:t>
            </w:r>
          </w:p>
        </w:tc>
        <w:tc>
          <w:tcPr>
            <w:tcW w:type="dxa" w:w="1474"/>
            <w:shd w:val="clear" w:color="auto" w:fill="F2F5F9"/>
          </w:tcPr>
          <w:p>
            <w:pPr>
              <w:spacing w:after="0"/>
            </w:pPr>
            <w:r/>
            <w:r>
              <w:rPr>
                <w:b w:val="0"/>
                <w:i/>
                <w:color w:val="555F6E"/>
                <w:sz w:val="16"/>
              </w:rPr>
              <w:t>Information d'un prestataire</w:t>
            </w:r>
          </w:p>
        </w:tc>
        <w:tc>
          <w:tcPr>
            <w:tcW w:type="dxa" w:w="794"/>
            <w:shd w:val="clear" w:color="auto" w:fill="F2F5F9"/>
          </w:tcPr>
          <w:p>
            <w:pPr>
              <w:spacing w:after="0"/>
            </w:pPr>
            <w:r/>
            <w:r>
              <w:rPr>
                <w:b w:val="0"/>
                <w:i/>
                <w:color w:val="555F6E"/>
                <w:sz w:val="16"/>
              </w:rPr>
              <w:t>15 min</w:t>
            </w:r>
          </w:p>
        </w:tc>
        <w:tc>
          <w:tcPr>
            <w:tcW w:type="dxa" w:w="1361"/>
            <w:shd w:val="clear" w:color="auto" w:fill="F2F5F9"/>
          </w:tcPr>
          <w:p>
            <w:pPr>
              <w:spacing w:after="0"/>
            </w:pPr>
            <w:r/>
            <w:r>
              <w:rPr>
                <w:b w:val="0"/>
                <w:i/>
                <w:color w:val="555F6E"/>
                <w:sz w:val="16"/>
              </w:rPr>
              <w:t>[Référent IA]</w:t>
            </w:r>
          </w:p>
        </w:tc>
        <w:tc>
          <w:tcPr>
            <w:tcW w:type="dxa" w:w="1587"/>
            <w:shd w:val="clear" w:color="auto" w:fill="F2F5F9"/>
          </w:tcPr>
          <w:p>
            <w:pPr>
              <w:spacing w:after="0"/>
            </w:pPr>
            <w:r/>
            <w:r>
              <w:rPr>
                <w:b w:val="0"/>
                <w:i/>
                <w:color w:val="555F6E"/>
                <w:sz w:val="16"/>
              </w:rPr>
              <w:t>Graphiste indépendant</w:t>
            </w:r>
          </w:p>
        </w:tc>
        <w:tc>
          <w:tcPr>
            <w:tcW w:type="dxa" w:w="1474"/>
            <w:shd w:val="clear" w:color="auto" w:fill="F2F5F9"/>
          </w:tcPr>
          <w:p>
            <w:pPr>
              <w:spacing w:after="0"/>
            </w:pPr>
            <w:r/>
            <w:r>
              <w:rPr>
                <w:b w:val="0"/>
                <w:i/>
                <w:color w:val="555F6E"/>
                <w:sz w:val="16"/>
              </w:rPr>
              <w:t>[Outil d'images]</w:t>
            </w:r>
          </w:p>
        </w:tc>
        <w:tc>
          <w:tcPr>
            <w:tcW w:type="dxa" w:w="2608"/>
            <w:shd w:val="clear" w:color="auto" w:fill="F2F5F9"/>
          </w:tcPr>
          <w:p>
            <w:pPr>
              <w:spacing w:after="0"/>
            </w:pPr>
            <w:r/>
            <w:r>
              <w:rPr>
                <w:b w:val="0"/>
                <w:i/>
                <w:color w:val="555F6E"/>
                <w:sz w:val="16"/>
              </w:rPr>
              <w:t>Charte, mention des images réalistes générées par IA</w:t>
            </w:r>
          </w:p>
        </w:tc>
        <w:tc>
          <w:tcPr>
            <w:tcW w:type="dxa" w:w="1757"/>
            <w:shd w:val="clear" w:color="auto" w:fill="F2F5F9"/>
          </w:tcPr>
          <w:p>
            <w:pPr>
              <w:spacing w:after="0"/>
            </w:pPr>
            <w:r/>
            <w:r>
              <w:rPr>
                <w:b w:val="0"/>
                <w:i/>
                <w:color w:val="555F6E"/>
                <w:sz w:val="16"/>
              </w:rPr>
              <w:t>Charte IA v1.0</w:t>
            </w:r>
          </w:p>
        </w:tc>
        <w:tc>
          <w:tcPr>
            <w:tcW w:type="dxa" w:w="1814"/>
            <w:shd w:val="clear" w:color="auto" w:fill="F2F5F9"/>
          </w:tcPr>
          <w:p>
            <w:pPr>
              <w:spacing w:after="0"/>
            </w:pPr>
            <w:r/>
            <w:r>
              <w:rPr>
                <w:b w:val="0"/>
                <w:i/>
                <w:color w:val="555F6E"/>
                <w:sz w:val="16"/>
              </w:rPr>
              <w:t>Revue au renouvellement du contrat</w:t>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r>
        <w:trPr>
          <w:trHeight w:val="510"/>
        </w:trPr>
        <w:tc>
          <w:tcPr>
            <w:tcW w:type="dxa" w:w="510"/>
          </w:tcPr>
          <w:p>
            <w:pPr>
              <w:spacing w:after="0"/>
            </w:pPr>
            <w:r/>
            <w:r>
              <w:rPr>
                <w:b w:val="0"/>
                <w:i w:val="0"/>
                <w:sz w:val="17"/>
              </w:rPr>
            </w:r>
          </w:p>
        </w:tc>
        <w:tc>
          <w:tcPr>
            <w:tcW w:type="dxa" w:w="1134"/>
          </w:tcPr>
          <w:p>
            <w:pPr>
              <w:spacing w:after="0"/>
            </w:pPr>
            <w:r/>
            <w:r>
              <w:rPr>
                <w:b w:val="0"/>
                <w:i w:val="0"/>
                <w:sz w:val="17"/>
              </w:rPr>
            </w:r>
          </w:p>
        </w:tc>
        <w:tc>
          <w:tcPr>
            <w:tcW w:type="dxa" w:w="1474"/>
          </w:tcPr>
          <w:p>
            <w:pPr>
              <w:spacing w:after="0"/>
            </w:pPr>
            <w:r/>
            <w:r>
              <w:rPr>
                <w:b w:val="0"/>
                <w:i w:val="0"/>
                <w:sz w:val="17"/>
              </w:rPr>
            </w:r>
          </w:p>
        </w:tc>
        <w:tc>
          <w:tcPr>
            <w:tcW w:type="dxa" w:w="794"/>
          </w:tcPr>
          <w:p>
            <w:pPr>
              <w:spacing w:after="0"/>
            </w:pPr>
            <w:r/>
            <w:r>
              <w:rPr>
                <w:b w:val="0"/>
                <w:i w:val="0"/>
                <w:sz w:val="17"/>
              </w:rPr>
            </w:r>
          </w:p>
        </w:tc>
        <w:tc>
          <w:tcPr>
            <w:tcW w:type="dxa" w:w="1361"/>
          </w:tcPr>
          <w:p>
            <w:pPr>
              <w:spacing w:after="0"/>
            </w:pPr>
            <w:r/>
            <w:r>
              <w:rPr>
                <w:b w:val="0"/>
                <w:i w:val="0"/>
                <w:sz w:val="17"/>
              </w:rPr>
            </w:r>
          </w:p>
        </w:tc>
        <w:tc>
          <w:tcPr>
            <w:tcW w:type="dxa" w:w="1587"/>
          </w:tcPr>
          <w:p>
            <w:pPr>
              <w:spacing w:after="0"/>
            </w:pPr>
            <w:r/>
            <w:r>
              <w:rPr>
                <w:b w:val="0"/>
                <w:i w:val="0"/>
                <w:sz w:val="17"/>
              </w:rPr>
            </w:r>
          </w:p>
        </w:tc>
        <w:tc>
          <w:tcPr>
            <w:tcW w:type="dxa" w:w="1474"/>
          </w:tcPr>
          <w:p>
            <w:pPr>
              <w:spacing w:after="0"/>
            </w:pPr>
            <w:r/>
            <w:r>
              <w:rPr>
                <w:b w:val="0"/>
                <w:i w:val="0"/>
                <w:sz w:val="17"/>
              </w:rPr>
            </w:r>
          </w:p>
        </w:tc>
        <w:tc>
          <w:tcPr>
            <w:tcW w:type="dxa" w:w="2608"/>
          </w:tcPr>
          <w:p>
            <w:pPr>
              <w:spacing w:after="0"/>
            </w:pPr>
            <w:r/>
            <w:r>
              <w:rPr>
                <w:b w:val="0"/>
                <w:i w:val="0"/>
                <w:sz w:val="17"/>
              </w:rPr>
            </w:r>
          </w:p>
        </w:tc>
        <w:tc>
          <w:tcPr>
            <w:tcW w:type="dxa" w:w="1757"/>
          </w:tcPr>
          <w:p>
            <w:pPr>
              <w:spacing w:after="0"/>
            </w:pPr>
            <w:r/>
            <w:r>
              <w:rPr>
                <w:b w:val="0"/>
                <w:i w:val="0"/>
                <w:sz w:val="17"/>
              </w:rPr>
            </w:r>
          </w:p>
        </w:tc>
        <w:tc>
          <w:tcPr>
            <w:tcW w:type="dxa" w:w="1814"/>
          </w:tcPr>
          <w:p>
            <w:pPr>
              <w:spacing w:after="0"/>
            </w:pPr>
            <w:r/>
            <w:r>
              <w:rPr>
                <w:b w:val="0"/>
                <w:i w:val="0"/>
                <w:sz w:val="17"/>
              </w:rPr>
            </w:r>
          </w:p>
        </w:tc>
      </w:tr>
    </w:tbl>
    <w:p>
      <w:pPr>
        <w:sectPr>
          <w:pgSz w:w="16838" w:h="11906" w:orient="landscape"/>
          <w:pgMar w:top="907" w:right="907" w:bottom="907" w:left="907" w:header="720" w:footer="720" w:gutter="0"/>
          <w:cols w:space="720"/>
          <w:docGrid w:linePitch="360"/>
        </w:sectPr>
      </w:pPr>
    </w:p>
    <w:p>
      <w:pPr>
        <w:pStyle w:val="Heading1"/>
      </w:pPr>
      <w:r>
        <w:t>Partie 3. Feuille de présence</w:t>
      </w:r>
    </w:p>
    <w:p>
      <w:r>
        <w:rPr>
          <w:b/>
        </w:rPr>
        <w:t>Action n° [  ] du [date] : [intitulé]. Animée par : [nom].</w:t>
      </w:r>
    </w:p>
    <w:p>
      <w:r>
        <w:rPr>
          <w:i/>
          <w:color w:val="555555"/>
          <w:sz w:val="18"/>
        </w:rPr>
        <w:t>Dupliquez cette page pour chaque action. Statut : salarié, intérimaire, stagiaire, prestataire, indépendant ou autre. Pour un module en ligne, joignez l'export des personnes qui l'ont terminé ; pour une note écrite, l'accusé de lecture.</w:t>
      </w:r>
    </w:p>
    <w:tbl>
      <w:tblPr>
        <w:tblStyle w:val="TableGrid"/>
        <w:tblW w:type="auto" w:w="0"/>
        <w:jc w:val="center"/>
        <w:tblLook w:firstColumn="1" w:firstRow="1" w:lastColumn="0" w:lastRow="0" w:noHBand="0" w:noVBand="1" w:val="04A0"/>
      </w:tblPr>
      <w:tblGrid>
        <w:gridCol w:w="2504"/>
        <w:gridCol w:w="2504"/>
        <w:gridCol w:w="2504"/>
        <w:gridCol w:w="2504"/>
        <w:gridCol w:w="2504"/>
        <w:gridCol w:w="2504"/>
      </w:tblGrid>
      <w:tr>
        <w:trPr>
          <w:tblHeader w:val="true"/>
        </w:trPr>
        <w:tc>
          <w:tcPr>
            <w:tcW w:type="dxa" w:w="3061"/>
            <w:shd w:val="clear" w:color="auto" w:fill="1E4F86"/>
          </w:tcPr>
          <w:p>
            <w:pPr>
              <w:spacing w:after="0"/>
            </w:pPr>
            <w:r/>
            <w:r>
              <w:rPr>
                <w:b/>
                <w:i w:val="0"/>
                <w:color w:val="FFFFFF"/>
                <w:sz w:val="17"/>
              </w:rPr>
              <w:t>Nom et prénom</w:t>
            </w:r>
          </w:p>
        </w:tc>
        <w:tc>
          <w:tcPr>
            <w:tcW w:type="dxa" w:w="2381"/>
            <w:shd w:val="clear" w:color="auto" w:fill="1E4F86"/>
          </w:tcPr>
          <w:p>
            <w:pPr>
              <w:spacing w:after="0"/>
            </w:pPr>
            <w:r/>
            <w:r>
              <w:rPr>
                <w:b/>
                <w:i w:val="0"/>
                <w:color w:val="FFFFFF"/>
                <w:sz w:val="17"/>
              </w:rPr>
              <w:t>Fonction</w:t>
            </w:r>
          </w:p>
        </w:tc>
        <w:tc>
          <w:tcPr>
            <w:tcW w:type="dxa" w:w="1928"/>
            <w:shd w:val="clear" w:color="auto" w:fill="1E4F86"/>
          </w:tcPr>
          <w:p>
            <w:pPr>
              <w:spacing w:after="0"/>
            </w:pPr>
            <w:r/>
            <w:r>
              <w:rPr>
                <w:b/>
                <w:i w:val="0"/>
                <w:color w:val="FFFFFF"/>
                <w:sz w:val="17"/>
              </w:rPr>
              <w:t>Statut</w:t>
            </w:r>
          </w:p>
        </w:tc>
        <w:tc>
          <w:tcPr>
            <w:tcW w:type="dxa" w:w="2154"/>
            <w:shd w:val="clear" w:color="auto" w:fill="1E4F86"/>
          </w:tcPr>
          <w:p>
            <w:pPr>
              <w:spacing w:after="0"/>
            </w:pPr>
            <w:r/>
            <w:r>
              <w:rPr>
                <w:b/>
                <w:i w:val="0"/>
                <w:color w:val="FFFFFF"/>
                <w:sz w:val="17"/>
              </w:rPr>
              <w:t>Présent ou document reçu</w:t>
            </w:r>
          </w:p>
        </w:tc>
        <w:tc>
          <w:tcPr>
            <w:tcW w:type="dxa" w:w="1474"/>
            <w:shd w:val="clear" w:color="auto" w:fill="1E4F86"/>
          </w:tcPr>
          <w:p>
            <w:pPr>
              <w:spacing w:after="0"/>
            </w:pPr>
            <w:r/>
            <w:r>
              <w:rPr>
                <w:b/>
                <w:i w:val="0"/>
                <w:color w:val="FFFFFF"/>
                <w:sz w:val="17"/>
              </w:rPr>
              <w:t>Date</w:t>
            </w:r>
          </w:p>
        </w:tc>
        <w:tc>
          <w:tcPr>
            <w:tcW w:type="dxa" w:w="3742"/>
            <w:shd w:val="clear" w:color="auto" w:fill="1E4F86"/>
          </w:tcPr>
          <w:p>
            <w:pPr>
              <w:spacing w:after="0"/>
            </w:pPr>
            <w:r/>
            <w:r>
              <w:rPr>
                <w:b/>
                <w:i w:val="0"/>
                <w:color w:val="FFFFFF"/>
                <w:sz w:val="17"/>
              </w:rPr>
              <w:t>Signature ou accusé de réception</w:t>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r>
        <w:trPr>
          <w:trHeight w:val="510"/>
        </w:trPr>
        <w:tc>
          <w:tcPr>
            <w:tcW w:type="dxa" w:w="3061"/>
          </w:tcPr>
          <w:p>
            <w:pPr>
              <w:spacing w:after="0"/>
            </w:pPr>
            <w:r/>
            <w:r>
              <w:rPr>
                <w:b w:val="0"/>
                <w:i w:val="0"/>
                <w:sz w:val="17"/>
              </w:rPr>
            </w:r>
          </w:p>
        </w:tc>
        <w:tc>
          <w:tcPr>
            <w:tcW w:type="dxa" w:w="2381"/>
          </w:tcPr>
          <w:p>
            <w:pPr>
              <w:spacing w:after="0"/>
            </w:pPr>
            <w:r/>
            <w:r>
              <w:rPr>
                <w:b w:val="0"/>
                <w:i w:val="0"/>
                <w:sz w:val="17"/>
              </w:rPr>
            </w:r>
          </w:p>
        </w:tc>
        <w:tc>
          <w:tcPr>
            <w:tcW w:type="dxa" w:w="1928"/>
          </w:tcPr>
          <w:p>
            <w:pPr>
              <w:spacing w:after="0"/>
            </w:pPr>
            <w:r/>
            <w:r>
              <w:rPr>
                <w:b w:val="0"/>
                <w:i w:val="0"/>
                <w:sz w:val="17"/>
              </w:rPr>
            </w:r>
          </w:p>
        </w:tc>
        <w:tc>
          <w:tcPr>
            <w:tcW w:type="dxa" w:w="2154"/>
          </w:tcPr>
          <w:p>
            <w:pPr>
              <w:spacing w:after="0"/>
            </w:pPr>
            <w:r/>
            <w:r>
              <w:rPr>
                <w:b w:val="0"/>
                <w:i w:val="0"/>
                <w:sz w:val="17"/>
              </w:rPr>
            </w:r>
          </w:p>
        </w:tc>
        <w:tc>
          <w:tcPr>
            <w:tcW w:type="dxa" w:w="1474"/>
          </w:tcPr>
          <w:p>
            <w:pPr>
              <w:spacing w:after="0"/>
            </w:pPr>
            <w:r/>
            <w:r>
              <w:rPr>
                <w:b w:val="0"/>
                <w:i w:val="0"/>
                <w:sz w:val="17"/>
              </w:rPr>
            </w:r>
          </w:p>
        </w:tc>
        <w:tc>
          <w:tcPr>
            <w:tcW w:type="dxa" w:w="3742"/>
          </w:tcPr>
          <w:p>
            <w:pPr>
              <w:spacing w:after="0"/>
            </w:pPr>
            <w:r/>
            <w:r>
              <w:rPr>
                <w:b w:val="0"/>
                <w:i w:val="0"/>
                <w:sz w:val="17"/>
              </w:rPr>
            </w:r>
          </w:p>
        </w:tc>
      </w:tr>
    </w:tbl>
    <w:p>
      <w:pPr>
        <w:sectPr>
          <w:pgSz w:w="16838" w:h="11906" w:orient="landscape"/>
          <w:pgMar w:top="907" w:right="907" w:bottom="907" w:left="907" w:header="720" w:footer="720" w:gutter="0"/>
          <w:cols w:space="720"/>
          <w:docGrid w:linePitch="360"/>
        </w:sectPr>
      </w:pPr>
    </w:p>
    <w:p>
      <w:pPr>
        <w:pStyle w:val="Heading1"/>
      </w:pPr>
      <w:r>
        <w:t>Annexe. Session « Utiliser l'IA au travail » : trame de 45 minutes</w:t>
      </w:r>
    </w:p>
    <w:p>
      <w:r>
        <w:t>Public : [équipe ou service], de 4 à 12 personnes. Animation : [référent IA].</w:t>
      </w:r>
    </w:p>
    <w:p>
      <w:r>
        <w:t>Matériel : un écran, l'outil d'IA autorisé ouvert avec un compte professionnel, la charte IA de l'entreprise, les 8 demandes de l'exercice 2, le courriel de l'exercice 3, la feuille de présence.</w:t>
      </w:r>
    </w:p>
    <w:p>
      <w:r>
        <w:t>Objectif : à la fin, chacun sait où l'outil se trompe, quelles données il peut y saisir et ce qu'il relit avant d'envoyer.</w:t>
      </w:r>
    </w:p>
    <w:p>
      <w:pPr>
        <w:pStyle w:val="Heading2"/>
      </w:pPr>
      <w:r>
        <w:t>Minutes 0 à 5. Ouverture</w:t>
      </w:r>
    </w:p>
    <w:p>
      <w:pPr>
        <w:pStyle w:val="ListBullet"/>
      </w:pPr>
      <w:r>
        <w:t>L'entreprise utilise [outils] pour [usages]. Le règlement européen sur l'IA lui demande de prendre des mesures pour développer la maîtrise de l'IA de son équipe. Cette session en fait partie et sera notée au registre.</w:t>
      </w:r>
    </w:p>
    <w:p>
      <w:pPr>
        <w:pStyle w:val="ListBullet"/>
      </w:pPr>
      <w:r>
        <w:t>Tour de table, sans reproche : qui utilise quel outil, pour quelles tâches, avec quel compte.</w:t>
      </w:r>
    </w:p>
    <w:p>
      <w:pPr>
        <w:pStyle w:val="Heading2"/>
      </w:pPr>
      <w:r>
        <w:t>Minutes 5 à 12. Comment l'outil produit ses réponses</w:t>
      </w:r>
    </w:p>
    <w:p>
      <w:pPr>
        <w:pStyle w:val="ListBullet"/>
      </w:pPr>
      <w:r>
        <w:t>Un modèle génératif n'est pas une base de connaissances. Il produit la réponse la plus probable compte tenu de ses données d'entraînement. Il peut donc écrire une réponse fausse qui paraît juste, en particulier sur des faits récents ou rares.</w:t>
      </w:r>
    </w:p>
    <w:p>
      <w:pPr>
        <w:pStyle w:val="ListBullet"/>
      </w:pPr>
      <w:r>
        <w:t>Il peut citer une source qui n'existe pas, ou une source réelle qui ne dit pas ce qu'il affirme.</w:t>
      </w:r>
    </w:p>
    <w:p>
      <w:pPr>
        <w:pStyle w:val="ListBullet"/>
      </w:pPr>
      <w:r>
        <w:t>Avec un outil en ligne, ce que vous saisissez part chez le fournisseur. Selon l'offre, la conversation peut être conservée ou réutilisée : c'est la raison des niveaux de données de la charte.</w:t>
      </w:r>
    </w:p>
    <w:p>
      <w:pPr>
        <w:pStyle w:val="ListBullet"/>
      </w:pPr>
      <w:r>
        <w:t>Un usage excessif de l'outil fait perdre l'habitude de vérifier. La CNIL parle de biais d'automatisation : relisez toujours.</w:t>
      </w:r>
    </w:p>
    <w:p>
      <w:pPr>
        <w:pStyle w:val="Heading2"/>
      </w:pPr>
      <w:r>
        <w:t>Minutes 12 à 22. Exercice 1 : vrai ou plausible ?</w:t>
      </w:r>
    </w:p>
    <w:p>
      <w:pPr>
        <w:pStyle w:val="ListBullet"/>
      </w:pPr>
      <w:r>
        <w:t>Par deux. Chaque binôme pose à l'outil autorisé une question de son métier dont il connaît la réponse exacte : un article de loi précis, une norme, la date d'un événement de votre secteur, le prix public d'un produit que vous vendez. Ajoutez : « Donne-moi tes sources. »</w:t>
      </w:r>
    </w:p>
    <w:p>
      <w:pPr>
        <w:pStyle w:val="ListBullet"/>
      </w:pPr>
      <w:r>
        <w:t>Vérifiez chaque chiffre, date, nom et référence sur la source d'origine.</w:t>
      </w:r>
    </w:p>
    <w:p>
      <w:pPr>
        <w:pStyle w:val="ListBullet"/>
      </w:pPr>
      <w:r>
        <w:t>Mise en commun : combien d'erreurs ? Les sources citées existent-elles et disent-elles bien cela ? Si tout est juste, demandez au groupe comment il l'aurait vérifié sans connaître la réponse.</w:t>
      </w:r>
    </w:p>
    <w:p>
      <w:pPr>
        <w:pStyle w:val="ListBullet"/>
      </w:pPr>
      <w:r>
        <w:t>Règle retenue : un chiffre, une date, une citation ou une référence juridique se vérifie sur sa source avant tout usage.</w:t>
      </w:r>
    </w:p>
    <w:p>
      <w:pPr>
        <w:pStyle w:val="Heading2"/>
      </w:pPr>
      <w:r>
        <w:t>Minutes 22 à 32. Exercice 2 : le feu tricolore des données</w:t>
      </w:r>
    </w:p>
    <w:p>
      <w:r>
        <w:t>Pour chaque demande, le groupe choisit : vert (niveau 1, autorisé dans tous les outils de la charte), orange (niveau 2, outil professionnel seulement, avec les seules données utiles) ou rouge (niveau 3, interdit sauf autorisation écrite du référent IA). Réécrivez ensuite une demande rouge pour la rendre acceptable.</w:t>
      </w:r>
    </w:p>
    <w:p>
      <w:pPr>
        <w:pStyle w:val="ListNumber"/>
      </w:pPr>
      <w:r>
        <w:t>« Corrige les fautes de ce texte déjà publié sur notre site. »</w:t>
      </w:r>
    </w:p>
    <w:p>
      <w:pPr>
        <w:pStyle w:val="ListNumber"/>
      </w:pPr>
      <w:r>
        <w:t>« Résume ce compte rendu de réunion interne, qui ne cite aucun client. »</w:t>
      </w:r>
    </w:p>
    <w:p>
      <w:pPr>
        <w:pStyle w:val="ListNumber"/>
      </w:pPr>
      <w:r>
        <w:t>« Rédige une réponse à M. Martin, qui se plaint d'un retard de livraison sur sa commande n° 4471. »</w:t>
      </w:r>
    </w:p>
    <w:p>
      <w:pPr>
        <w:pStyle w:val="ListNumber"/>
      </w:pPr>
      <w:r>
        <w:t>« Voici l'arrêt de travail de Julie : aide-moi à écrire le courriel pour le service paie. »</w:t>
      </w:r>
    </w:p>
    <w:p>
      <w:pPr>
        <w:pStyle w:val="ListNumber"/>
      </w:pPr>
      <w:r>
        <w:t>« Analyse ce fichier de nos 3 000 clients avec leurs adresses et leur chiffre d'affaires. »</w:t>
      </w:r>
    </w:p>
    <w:p>
      <w:pPr>
        <w:pStyle w:val="ListNumber"/>
      </w:pPr>
      <w:r>
        <w:t>« Traduis en néerlandais notre fiche produit publique. »</w:t>
      </w:r>
    </w:p>
    <w:p>
      <w:pPr>
        <w:pStyle w:val="ListNumber"/>
      </w:pPr>
      <w:r>
        <w:t>« Voici le mot de passe de notre banque en ligne : explique-moi comment faire un virement groupé. »</w:t>
      </w:r>
    </w:p>
    <w:p>
      <w:pPr>
        <w:pStyle w:val="ListNumber"/>
      </w:pPr>
      <w:r>
        <w:t>« Compare ces deux CV et dis-moi qui embaucher. »</w:t>
      </w:r>
    </w:p>
    <w:p>
      <w:r>
        <w:t>Corrigé pour l'animateur, selon le modèle de charte IA de maccus.fr (adaptez-le à votre charte) : 1 vert. 2 orange, document interne. 3 orange, dans un outil professionnel, avec le seul nom et le numéro de commande. 4 rouge, donnée de santé. 5 rouge, fichier clients complet et secret d'affaires. 6 vert. 7 rouge, mot de passe. 8 rouge, données de candidats ; la charte interdit aussi de fonder une décision de recrutement sur le seul résultat d'une IA.</w:t>
      </w:r>
    </w:p>
    <w:p>
      <w:r>
        <w:t>Réécriture possible de la demande 4 : « Aide-moi à écrire un courriel neutre au service paie pour signaler l'absence d'une salariée du [date] au [date] ; le justificatif est transmis à part. »</w:t>
      </w:r>
    </w:p>
    <w:p>
      <w:pPr>
        <w:pStyle w:val="Heading2"/>
      </w:pPr>
      <w:r>
        <w:t>Minutes 32 à 42. Exercice 3 : relire avant d'envoyer</w:t>
      </w:r>
    </w:p>
    <w:p>
      <w:r>
        <w:t>Demande faite à l'outil (cas fictif) : « Réponds au client Dupuis, qui demande quand son devis sera prêt. Devis n° 2026-118, prix convenu 1 450 euros HT. » Voici la réponse produite, imprimée ou projetée. Chacun cherche seul les problèmes pendant 4 minutes, puis mise en commun.</w:t>
      </w:r>
    </w:p>
    <w:p>
      <w:pPr>
        <w:spacing w:after="40"/>
        <w:ind w:left="567"/>
      </w:pPr>
      <w:r>
        <w:rPr>
          <w:i/>
        </w:rPr>
        <w:t>Bonjour Monsieur Dupuis,</w:t>
      </w:r>
    </w:p>
    <w:p>
      <w:pPr>
        <w:spacing w:after="40"/>
        <w:ind w:left="567"/>
      </w:pPr>
      <w:r>
        <w:rPr>
          <w:i/>
        </w:rPr>
        <w:t>Merci pour votre message. Votre devis n° 2026-181 sera prêt le lundi 15 octobre. Comme convenu, le montant s'élève à 1 540 euros TTC, installation offerte.</w:t>
      </w:r>
    </w:p>
    <w:p>
      <w:pPr>
        <w:spacing w:after="40"/>
        <w:ind w:left="567"/>
      </w:pPr>
      <w:r>
        <w:rPr>
          <w:i/>
        </w:rPr>
        <w:t>Je reste à votre disposition pour toute question.</w:t>
      </w:r>
    </w:p>
    <w:p>
      <w:pPr>
        <w:spacing w:after="40"/>
        <w:ind w:left="567"/>
      </w:pPr>
      <w:r>
        <w:rPr>
          <w:i/>
        </w:rPr>
        <w:t>Bien cordialement,</w:t>
      </w:r>
    </w:p>
    <w:p>
      <w:pPr>
        <w:spacing w:after="40"/>
        <w:ind w:left="567"/>
      </w:pPr>
      <w:r>
        <w:rPr>
          <w:i/>
        </w:rPr>
        <w:t>[Prénom Nom]</w:t>
      </w:r>
    </w:p>
    <w:p>
      <w:r>
        <w:t>Corrigé pour l'animateur, quatre problèmes : le numéro de devis est inversé (2026-181 au lieu de 2026-118) ; le montant est faux et passe de HT à TTC (1 540 au lieu de 1 450 euros HT) ; « installation offerte » est une promesse commerciale que personne n'a faite ; la date est inventée et le 15 octobre 2026 tombe un jeudi. Celui qui envoie ce courriel en répond, comme s'il l'avait écrit seul.</w:t>
      </w:r>
    </w:p>
    <w:p>
      <w:pPr>
        <w:pStyle w:val="Heading2"/>
      </w:pPr>
      <w:r>
        <w:t>Minutes 42 à 45. Clôture</w:t>
      </w:r>
    </w:p>
    <w:p>
      <w:pPr>
        <w:pStyle w:val="ListBullet"/>
      </w:pPr>
      <w:r>
        <w:t>Les trois règles : vérifier chaque fait sur sa source ; ne saisir que les données autorisées par la charte ; relire et assumer tout ce qui part à l'extérieur.</w:t>
      </w:r>
    </w:p>
    <w:p>
      <w:pPr>
        <w:pStyle w:val="ListBullet"/>
      </w:pPr>
      <w:r>
        <w:t>Une question, une erreur envoyée, une donnée saisie par erreur : prévenez [référent IA] le jour même.</w:t>
      </w:r>
    </w:p>
    <w:p>
      <w:pPr>
        <w:pStyle w:val="ListBullet"/>
      </w:pPr>
      <w:r>
        <w:t>Signature de la feuille de présence. L'animateur remplit la ligne du registre : date, durée, public, outils, contenus, supports remis.</w:t>
      </w:r>
    </w:p>
    <w:p>
      <w:pPr>
        <w:pStyle w:val="Heading2"/>
      </w:pPr>
      <w:r>
        <w:t>Ligne type à reporter au registre</w:t>
      </w:r>
    </w:p>
    <w:p>
      <w:r>
        <w:t>Session interne de 45 minutes, [nombre] participants, outils [noms]. Contenus : fonctionnement et limites des outils, vérification des faits et des sources, niveaux de données de la charte, relecture avant envoi. Supports remis : charte IA v[ ], fiche de prompts types. Suivi : point d'équipe le [date].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[Nom de l'entreprise], registre de formation IA,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Registre de formation et de sensibilisation à l'IA</dc:title>
  <dc:subject>Registre de formation IA (article 4 du règlement européen sur l'IA)</dc:subject>
  <dc:creator>maccus.fr</dc:creator>
  <cp:keywords>registre, formation IA, maîtrise de l'IA, article 4, AI Act</cp:keywords>
  <dc:description>Modèle maccus.fr, version du 10 octobre 2026. Ce modèle est un point de départ à adapter à votre entreprise ; il ne remplace pas un avis juridique.</dc:description>
  <cp:lastModifiedBy/>
  <cp:revision>1</cp:revision>
  <dcterms:created xsi:type="dcterms:W3CDTF">2013-12-23T23:15:00Z</dcterms:created>
  <dcterms:modified xsi:type="dcterms:W3CDTF">2013-12-23T23:15:00Z</dcterms:modified>
  <cp:category/>
</cp:coreProperties>
</file>